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0618" w14:textId="0AFF26C3" w:rsidR="00B83EEE" w:rsidRPr="00AE074C" w:rsidRDefault="00AE074C" w:rsidP="00AE074C">
      <w:pPr>
        <w:jc w:val="center"/>
        <w:rPr>
          <w:rFonts w:cstheme="minorHAnsi"/>
          <w:b/>
          <w:bCs/>
        </w:rPr>
      </w:pPr>
      <w:r w:rsidRPr="00AE074C">
        <w:rPr>
          <w:rFonts w:cstheme="minorHAnsi"/>
          <w:b/>
          <w:bCs/>
        </w:rPr>
        <w:t>Terms of Use (Parexel iSupplier)</w:t>
      </w:r>
    </w:p>
    <w:p w14:paraId="593B6316" w14:textId="7C698EA8" w:rsidR="00D3237C" w:rsidRDefault="00A94272" w:rsidP="00AE074C">
      <w:pPr>
        <w:spacing w:after="0" w:line="240" w:lineRule="auto"/>
        <w:rPr>
          <w:rFonts w:eastAsia="Calibri" w:cstheme="minorHAnsi"/>
        </w:rPr>
      </w:pPr>
      <w:r w:rsidRPr="00A94272">
        <w:rPr>
          <w:rFonts w:eastAsia="Calibri" w:cstheme="minorHAnsi"/>
        </w:rPr>
        <w:t xml:space="preserve"> </w:t>
      </w:r>
    </w:p>
    <w:p w14:paraId="3E96B285" w14:textId="5CA6A39A" w:rsidR="00AE074C" w:rsidRPr="00AE074C" w:rsidRDefault="00D3237C" w:rsidP="00AE074C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 w:rsidRPr="008B067A">
        <w:rPr>
          <w:rFonts w:eastAsia="Calibri" w:cstheme="minorHAnsi"/>
        </w:rPr>
        <w:t>The</w:t>
      </w:r>
      <w:r>
        <w:rPr>
          <w:rFonts w:eastAsia="Calibri" w:cstheme="minorHAnsi"/>
          <w:b/>
          <w:bCs/>
        </w:rPr>
        <w:t xml:space="preserve"> Parexel Oracle iSupplier portal</w:t>
      </w:r>
      <w:r w:rsidR="00AE074C" w:rsidRPr="00AE074C">
        <w:rPr>
          <w:rFonts w:eastAsia="Calibri" w:cstheme="minorHAnsi"/>
          <w:b/>
          <w:bCs/>
        </w:rPr>
        <w:t xml:space="preserve"> </w:t>
      </w:r>
      <w:r w:rsidR="00AE074C" w:rsidRPr="00AE074C">
        <w:rPr>
          <w:rFonts w:eastAsia="Calibri" w:cstheme="minorHAnsi"/>
        </w:rPr>
        <w:t xml:space="preserve">and any other service provided by Parexel to </w:t>
      </w:r>
      <w:r w:rsidR="00AE074C">
        <w:rPr>
          <w:rFonts w:eastAsia="Calibri" w:cstheme="minorHAnsi"/>
        </w:rPr>
        <w:t xml:space="preserve">Company </w:t>
      </w:r>
      <w:r w:rsidR="00AE074C" w:rsidRPr="00AE074C">
        <w:rPr>
          <w:rFonts w:eastAsia="Calibri" w:cstheme="minorHAnsi"/>
        </w:rPr>
        <w:t xml:space="preserve">related to </w:t>
      </w:r>
      <w:r w:rsidRPr="008B067A">
        <w:rPr>
          <w:rFonts w:eastAsia="Calibri" w:cstheme="minorHAnsi"/>
        </w:rPr>
        <w:t xml:space="preserve">the </w:t>
      </w:r>
      <w:r>
        <w:rPr>
          <w:rFonts w:eastAsia="Calibri" w:cstheme="minorHAnsi"/>
          <w:b/>
          <w:bCs/>
        </w:rPr>
        <w:t>Parexel Oracle iSupplier portal</w:t>
      </w:r>
      <w:r w:rsidR="00AE074C" w:rsidRPr="00AE074C">
        <w:rPr>
          <w:rFonts w:eastAsia="Calibri" w:cstheme="minorHAnsi"/>
        </w:rPr>
        <w:t xml:space="preserve"> are intended for use only </w:t>
      </w:r>
      <w:r w:rsidR="00AE074C" w:rsidRPr="00AE074C">
        <w:rPr>
          <w:rFonts w:eastAsia="Calibri" w:cstheme="minorHAnsi"/>
          <w:color w:val="000000" w:themeColor="text1"/>
        </w:rPr>
        <w:t xml:space="preserve">by the </w:t>
      </w:r>
      <w:r w:rsidR="0062301A">
        <w:rPr>
          <w:rFonts w:eastAsia="Calibri" w:cstheme="minorHAnsi"/>
          <w:color w:val="000000" w:themeColor="text1"/>
        </w:rPr>
        <w:t>c</w:t>
      </w:r>
      <w:r w:rsidR="00AE074C" w:rsidRPr="00AE074C">
        <w:rPr>
          <w:rFonts w:eastAsia="Calibri" w:cstheme="minorHAnsi"/>
          <w:color w:val="000000" w:themeColor="text1"/>
        </w:rPr>
        <w:t>ompany</w:t>
      </w:r>
      <w:r w:rsidR="0062301A">
        <w:rPr>
          <w:rFonts w:eastAsia="Calibri" w:cstheme="minorHAnsi"/>
          <w:color w:val="000000" w:themeColor="text1"/>
        </w:rPr>
        <w:t xml:space="preserve"> whose account will be accessed hereby (“Company”)</w:t>
      </w:r>
      <w:r w:rsidR="00AE074C" w:rsidRPr="00AE074C">
        <w:rPr>
          <w:rFonts w:eastAsia="Calibri" w:cstheme="minorHAnsi"/>
          <w:color w:val="000000" w:themeColor="text1"/>
        </w:rPr>
        <w:t xml:space="preserve"> and its </w:t>
      </w:r>
      <w:r w:rsidR="00AE074C" w:rsidRPr="00AE074C">
        <w:rPr>
          <w:rFonts w:eastAsia="Calibri" w:cstheme="minorHAnsi"/>
        </w:rPr>
        <w:t xml:space="preserve">Authorized Users (defined below).  </w:t>
      </w:r>
    </w:p>
    <w:p w14:paraId="364B5EAD" w14:textId="77777777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> </w:t>
      </w:r>
    </w:p>
    <w:p w14:paraId="047BDBD5" w14:textId="06896B93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Access to and use of </w:t>
      </w:r>
      <w:r w:rsidR="00D3237C" w:rsidRPr="008B067A">
        <w:rPr>
          <w:rFonts w:eastAsia="Calibri" w:cstheme="minorHAnsi"/>
        </w:rPr>
        <w:t>the</w:t>
      </w:r>
      <w:r w:rsidR="00D3237C">
        <w:rPr>
          <w:rFonts w:eastAsia="Calibri" w:cstheme="minorHAnsi"/>
          <w:b/>
          <w:bCs/>
        </w:rPr>
        <w:t xml:space="preserve"> Parexel Oracle iSupplier portal</w:t>
      </w:r>
      <w:r w:rsidR="00D3237C" w:rsidRPr="00AE074C">
        <w:rPr>
          <w:rFonts w:eastAsia="Calibri" w:cstheme="minorHAnsi"/>
        </w:rPr>
        <w:t xml:space="preserve"> </w:t>
      </w:r>
      <w:r w:rsidRPr="00AE074C">
        <w:rPr>
          <w:rFonts w:eastAsia="Calibri" w:cstheme="minorHAnsi"/>
        </w:rPr>
        <w:t>by</w:t>
      </w:r>
      <w:r>
        <w:rPr>
          <w:rFonts w:eastAsia="Calibri" w:cstheme="minorHAnsi"/>
        </w:rPr>
        <w:t xml:space="preserve"> </w:t>
      </w:r>
      <w:r w:rsidR="00AA1DF9">
        <w:rPr>
          <w:rFonts w:eastAsia="Calibri" w:cstheme="minorHAnsi"/>
        </w:rPr>
        <w:t xml:space="preserve">you (“You”) on behalf of </w:t>
      </w:r>
      <w:r w:rsidR="0062301A">
        <w:rPr>
          <w:rFonts w:eastAsia="Calibri" w:cstheme="minorHAnsi"/>
        </w:rPr>
        <w:t>C</w:t>
      </w:r>
      <w:r w:rsidR="00AA1DF9">
        <w:rPr>
          <w:rFonts w:eastAsia="Calibri" w:cstheme="minorHAnsi"/>
        </w:rPr>
        <w:t xml:space="preserve">ompany </w:t>
      </w:r>
      <w:r w:rsidRPr="00AE074C">
        <w:rPr>
          <w:rFonts w:eastAsia="Calibri" w:cstheme="minorHAnsi"/>
        </w:rPr>
        <w:t>is conditioned upon acceptance of these Terms of Use</w:t>
      </w:r>
      <w:r w:rsidR="0062301A">
        <w:rPr>
          <w:rFonts w:eastAsia="Calibri" w:cstheme="minorHAnsi"/>
        </w:rPr>
        <w:t xml:space="preserve">. </w:t>
      </w:r>
      <w:r w:rsidR="00624F85">
        <w:rPr>
          <w:rFonts w:eastAsia="Calibri" w:cstheme="minorHAnsi"/>
        </w:rPr>
        <w:t xml:space="preserve"> </w:t>
      </w:r>
      <w:r w:rsidRPr="00AE074C">
        <w:rPr>
          <w:rFonts w:eastAsia="Calibri" w:cstheme="minorHAnsi"/>
          <w:b/>
          <w:bCs/>
        </w:rPr>
        <w:t xml:space="preserve">By clicking "I AGREE" below, </w:t>
      </w:r>
      <w:r w:rsidR="0062301A">
        <w:rPr>
          <w:rFonts w:eastAsia="Calibri" w:cstheme="minorHAnsi"/>
          <w:b/>
          <w:bCs/>
        </w:rPr>
        <w:t>Y</w:t>
      </w:r>
      <w:r w:rsidRPr="00AE074C">
        <w:rPr>
          <w:rFonts w:eastAsia="Calibri" w:cstheme="minorHAnsi"/>
          <w:b/>
          <w:bCs/>
        </w:rPr>
        <w:t xml:space="preserve">ou accept and consent to these Terms of Use on behalf </w:t>
      </w:r>
      <w:r w:rsidRPr="00AE074C">
        <w:rPr>
          <w:rFonts w:eastAsia="Calibri" w:cstheme="minorHAnsi"/>
          <w:b/>
          <w:bCs/>
          <w:color w:val="000000"/>
        </w:rPr>
        <w:t xml:space="preserve">of </w:t>
      </w:r>
      <w:r w:rsidRPr="00AE074C">
        <w:rPr>
          <w:rFonts w:eastAsia="Calibri" w:cstheme="minorHAnsi"/>
          <w:b/>
          <w:bCs/>
        </w:rPr>
        <w:t>C</w:t>
      </w:r>
      <w:r w:rsidRPr="00AE074C">
        <w:rPr>
          <w:rFonts w:eastAsia="Calibri" w:cstheme="minorHAnsi"/>
          <w:b/>
          <w:bCs/>
          <w:color w:val="000000"/>
        </w:rPr>
        <w:t>ompany and represent that you have authority to so act</w:t>
      </w:r>
      <w:r w:rsidR="00EC3498">
        <w:rPr>
          <w:rFonts w:eastAsia="Calibri" w:cstheme="minorHAnsi"/>
          <w:b/>
          <w:bCs/>
          <w:color w:val="000000"/>
        </w:rPr>
        <w:t xml:space="preserve"> on its behalf</w:t>
      </w:r>
      <w:r w:rsidR="0062301A">
        <w:rPr>
          <w:rFonts w:eastAsia="Calibri" w:cstheme="minorHAnsi"/>
          <w:b/>
          <w:bCs/>
          <w:color w:val="000000"/>
        </w:rPr>
        <w:t>.</w:t>
      </w:r>
      <w:r w:rsidRPr="00AE074C">
        <w:rPr>
          <w:rFonts w:eastAsia="Calibri" w:cstheme="minorHAnsi"/>
          <w:b/>
          <w:bCs/>
          <w:color w:val="000000"/>
        </w:rPr>
        <w:t xml:space="preserve"> </w:t>
      </w:r>
    </w:p>
    <w:p w14:paraId="1EAD2AB6" w14:textId="77777777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> </w:t>
      </w:r>
    </w:p>
    <w:p w14:paraId="744C41A9" w14:textId="7292A2BA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You hereby acknowledge and agree that </w:t>
      </w:r>
      <w:r>
        <w:rPr>
          <w:rFonts w:eastAsia="Calibri" w:cstheme="minorHAnsi"/>
        </w:rPr>
        <w:t xml:space="preserve">Company </w:t>
      </w:r>
      <w:r w:rsidRPr="00AE074C">
        <w:rPr>
          <w:rFonts w:eastAsia="Calibri" w:cstheme="minorHAnsi"/>
        </w:rPr>
        <w:t xml:space="preserve">is solely responsible for: </w:t>
      </w:r>
    </w:p>
    <w:p w14:paraId="2C7FDD6B" w14:textId="77777777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> </w:t>
      </w:r>
    </w:p>
    <w:p w14:paraId="2713300B" w14:textId="77777777" w:rsidR="00CF6582" w:rsidRDefault="00AE074C" w:rsidP="00AE07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Ensuring that only persons with express authorization from </w:t>
      </w:r>
      <w:r>
        <w:rPr>
          <w:rFonts w:eastAsia="Calibri" w:cstheme="minorHAnsi"/>
        </w:rPr>
        <w:t xml:space="preserve">Company </w:t>
      </w:r>
      <w:r w:rsidRPr="00AE074C">
        <w:rPr>
          <w:rFonts w:eastAsia="Calibri" w:cstheme="minorHAnsi"/>
        </w:rPr>
        <w:t xml:space="preserve">to use, access, and enter or modify information in </w:t>
      </w:r>
      <w:r w:rsidR="00D3237C" w:rsidRPr="008B067A">
        <w:rPr>
          <w:rFonts w:eastAsia="Calibri" w:cstheme="minorHAnsi"/>
        </w:rPr>
        <w:t>the</w:t>
      </w:r>
      <w:r w:rsidR="00D3237C">
        <w:rPr>
          <w:rFonts w:eastAsia="Calibri" w:cstheme="minorHAnsi"/>
          <w:b/>
          <w:bCs/>
        </w:rPr>
        <w:t xml:space="preserve"> Parexel Oracle iSupplier portal</w:t>
      </w:r>
      <w:r w:rsidR="00D3237C" w:rsidRPr="00AE074C">
        <w:rPr>
          <w:rFonts w:eastAsia="Calibri" w:cstheme="minorHAnsi"/>
        </w:rPr>
        <w:t xml:space="preserve"> </w:t>
      </w:r>
      <w:r w:rsidRPr="00AE074C">
        <w:rPr>
          <w:rFonts w:eastAsia="Calibri" w:cstheme="minorHAnsi"/>
        </w:rPr>
        <w:t>are provided with login credentials to create user accounts ("Authorized Users"). </w:t>
      </w:r>
    </w:p>
    <w:p w14:paraId="405E1070" w14:textId="4FB32805" w:rsidR="00AE074C" w:rsidRPr="00AE074C" w:rsidRDefault="00AE074C" w:rsidP="00CF6582">
      <w:pPr>
        <w:spacing w:after="0" w:line="240" w:lineRule="auto"/>
        <w:ind w:left="540"/>
        <w:textAlignment w:val="center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  </w:t>
      </w:r>
    </w:p>
    <w:p w14:paraId="3CDA6CCA" w14:textId="77777777" w:rsidR="00CF6582" w:rsidRDefault="00AE074C" w:rsidP="00AE07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Protecting and maintaining the confidentiality of all login credentials, including usernames and passwords, for </w:t>
      </w:r>
      <w:r>
        <w:rPr>
          <w:rFonts w:eastAsia="Calibri" w:cstheme="minorHAnsi"/>
        </w:rPr>
        <w:t xml:space="preserve">Company’s </w:t>
      </w:r>
      <w:r w:rsidRPr="00AE074C">
        <w:rPr>
          <w:rFonts w:eastAsia="Calibri" w:cstheme="minorHAnsi"/>
        </w:rPr>
        <w:t xml:space="preserve">account(s) as well the account(s) of </w:t>
      </w:r>
      <w:r>
        <w:rPr>
          <w:rFonts w:eastAsia="Calibri" w:cstheme="minorHAnsi"/>
        </w:rPr>
        <w:t>Company</w:t>
      </w:r>
      <w:r w:rsidRPr="00AE074C">
        <w:rPr>
          <w:rFonts w:eastAsia="Calibri" w:cstheme="minorHAnsi"/>
        </w:rPr>
        <w:t>'s Authorized User(s). </w:t>
      </w:r>
    </w:p>
    <w:p w14:paraId="73A965DC" w14:textId="2626E2E0" w:rsidR="00AE074C" w:rsidRPr="00AE074C" w:rsidRDefault="00AE074C" w:rsidP="00CF6582">
      <w:pPr>
        <w:spacing w:after="0" w:line="240" w:lineRule="auto"/>
        <w:ind w:left="540"/>
        <w:textAlignment w:val="center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 </w:t>
      </w:r>
    </w:p>
    <w:p w14:paraId="44B5AC92" w14:textId="26C4DAD2" w:rsidR="00AE074C" w:rsidRPr="00AE074C" w:rsidRDefault="00AE074C" w:rsidP="00AE07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Calibri" w:cstheme="minorHAnsi"/>
        </w:rPr>
      </w:pPr>
      <w:r w:rsidRPr="00AE074C">
        <w:rPr>
          <w:rFonts w:eastAsia="Calibri" w:cstheme="minorHAnsi"/>
        </w:rPr>
        <w:t xml:space="preserve">Ensuring the accuracy and completeness of all information entered into by </w:t>
      </w:r>
      <w:r>
        <w:rPr>
          <w:rFonts w:eastAsia="Calibri" w:cstheme="minorHAnsi"/>
        </w:rPr>
        <w:t xml:space="preserve">Company’s </w:t>
      </w:r>
      <w:r w:rsidRPr="00AE074C">
        <w:rPr>
          <w:rFonts w:eastAsia="Calibri" w:cstheme="minorHAnsi"/>
        </w:rPr>
        <w:t>Authorized User(s), including but not limited to</w:t>
      </w:r>
      <w:r w:rsidR="00E17DAB">
        <w:rPr>
          <w:rFonts w:eastAsia="Calibri" w:cstheme="minorHAnsi"/>
        </w:rPr>
        <w:t xml:space="preserve"> invoices and</w:t>
      </w:r>
      <w:r w:rsidRPr="00AE074C">
        <w:rPr>
          <w:rFonts w:eastAsia="Calibri" w:cstheme="minorHAnsi"/>
        </w:rPr>
        <w:t xml:space="preserve"> payment information and instructions.  </w:t>
      </w:r>
    </w:p>
    <w:p w14:paraId="08AA3C6D" w14:textId="77777777" w:rsidR="00AE074C" w:rsidRPr="00AE074C" w:rsidRDefault="00AE074C" w:rsidP="00AE074C">
      <w:pPr>
        <w:spacing w:after="0" w:line="240" w:lineRule="auto"/>
        <w:rPr>
          <w:rFonts w:eastAsia="Calibri" w:cstheme="minorHAnsi"/>
        </w:rPr>
      </w:pPr>
      <w:r w:rsidRPr="00AE074C">
        <w:rPr>
          <w:rFonts w:eastAsia="Calibri" w:cstheme="minorHAnsi"/>
        </w:rPr>
        <w:t> </w:t>
      </w:r>
    </w:p>
    <w:p w14:paraId="754B01C4" w14:textId="77777777" w:rsidR="008B067A" w:rsidRDefault="00624F85" w:rsidP="00624F8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Parexel shall be entitled to rely the validity of all information entered by You through </w:t>
      </w:r>
      <w:r w:rsidR="008B067A" w:rsidRPr="00AE074C">
        <w:rPr>
          <w:rFonts w:eastAsia="Calibri" w:cstheme="minorHAnsi"/>
        </w:rPr>
        <w:t xml:space="preserve">the </w:t>
      </w:r>
      <w:r w:rsidR="008B067A">
        <w:rPr>
          <w:rFonts w:eastAsia="Calibri" w:cstheme="minorHAnsi"/>
          <w:b/>
          <w:bCs/>
        </w:rPr>
        <w:t xml:space="preserve">Parexel Oracle iSupplier portal. </w:t>
      </w:r>
      <w:r>
        <w:rPr>
          <w:rFonts w:eastAsia="Calibri" w:cstheme="minorHAnsi"/>
        </w:rPr>
        <w:t xml:space="preserve"> </w:t>
      </w:r>
    </w:p>
    <w:p w14:paraId="7744D5AB" w14:textId="77777777" w:rsidR="008B067A" w:rsidRDefault="008B067A" w:rsidP="00624F85">
      <w:pPr>
        <w:spacing w:after="0" w:line="240" w:lineRule="auto"/>
        <w:rPr>
          <w:rFonts w:eastAsia="Calibri" w:cstheme="minorHAnsi"/>
        </w:rPr>
      </w:pPr>
    </w:p>
    <w:p w14:paraId="6EFF3750" w14:textId="78EA1728" w:rsidR="00AE074C" w:rsidRPr="00AE074C" w:rsidRDefault="0062301A" w:rsidP="00624F85">
      <w:pPr>
        <w:spacing w:after="0" w:line="240" w:lineRule="auto"/>
        <w:rPr>
          <w:b/>
          <w:bCs/>
        </w:rPr>
      </w:pPr>
      <w:r>
        <w:rPr>
          <w:rFonts w:eastAsia="Calibri" w:cstheme="minorHAnsi"/>
        </w:rPr>
        <w:t xml:space="preserve">On behalf of Company, </w:t>
      </w:r>
      <w:r w:rsidR="00D30754">
        <w:rPr>
          <w:rFonts w:eastAsia="Calibri" w:cstheme="minorHAnsi"/>
        </w:rPr>
        <w:t>Y</w:t>
      </w:r>
      <w:r w:rsidR="00AE074C" w:rsidRPr="00AE074C">
        <w:rPr>
          <w:rFonts w:eastAsia="Calibri" w:cstheme="minorHAnsi"/>
        </w:rPr>
        <w:t xml:space="preserve">ou </w:t>
      </w:r>
      <w:r w:rsidR="008B067A">
        <w:rPr>
          <w:rFonts w:eastAsia="Calibri" w:cstheme="minorHAnsi"/>
        </w:rPr>
        <w:t>expressly</w:t>
      </w:r>
      <w:r w:rsidR="00AE074C" w:rsidRPr="00AE074C">
        <w:rPr>
          <w:rFonts w:eastAsia="Calibri" w:cstheme="minorHAnsi"/>
        </w:rPr>
        <w:t xml:space="preserve"> acknowledge and agree that </w:t>
      </w:r>
      <w:r w:rsidR="00624F85">
        <w:rPr>
          <w:rFonts w:eastAsia="Calibri" w:cstheme="minorHAnsi"/>
        </w:rPr>
        <w:t xml:space="preserve">(i) </w:t>
      </w:r>
      <w:r w:rsidR="00AE074C" w:rsidRPr="00AE074C">
        <w:rPr>
          <w:rFonts w:eastAsia="Calibri" w:cstheme="minorHAnsi"/>
        </w:rPr>
        <w:t>Parexel will have no</w:t>
      </w:r>
      <w:r w:rsidR="00EC3498">
        <w:rPr>
          <w:rFonts w:eastAsia="Calibri" w:cstheme="minorHAnsi"/>
        </w:rPr>
        <w:t xml:space="preserve"> responsibility or</w:t>
      </w:r>
      <w:r w:rsidR="00AE074C" w:rsidRPr="00AE074C">
        <w:rPr>
          <w:rFonts w:eastAsia="Calibri" w:cstheme="minorHAnsi"/>
        </w:rPr>
        <w:t xml:space="preserve"> liability to </w:t>
      </w:r>
      <w:r w:rsidR="00AE074C">
        <w:rPr>
          <w:rFonts w:eastAsia="Calibri" w:cstheme="minorHAnsi"/>
        </w:rPr>
        <w:t>Company</w:t>
      </w:r>
      <w:r w:rsidR="00EC3498">
        <w:rPr>
          <w:rFonts w:eastAsia="Calibri" w:cstheme="minorHAnsi"/>
        </w:rPr>
        <w:t xml:space="preserve"> or any other person</w:t>
      </w:r>
      <w:r w:rsidR="00624F85">
        <w:rPr>
          <w:rFonts w:eastAsia="Calibri" w:cstheme="minorHAnsi"/>
        </w:rPr>
        <w:t xml:space="preserve"> </w:t>
      </w:r>
      <w:r w:rsidR="00624F85" w:rsidRPr="00AE074C">
        <w:rPr>
          <w:rFonts w:eastAsia="Calibri" w:cstheme="minorHAnsi"/>
        </w:rPr>
        <w:t xml:space="preserve">for any </w:t>
      </w:r>
      <w:r w:rsidR="00624F85">
        <w:rPr>
          <w:rFonts w:eastAsia="Calibri" w:cstheme="minorHAnsi"/>
        </w:rPr>
        <w:t xml:space="preserve">claims, </w:t>
      </w:r>
      <w:r w:rsidR="00624F85" w:rsidRPr="00AE074C">
        <w:rPr>
          <w:rFonts w:eastAsia="Calibri" w:cstheme="minorHAnsi"/>
        </w:rPr>
        <w:t>damages, losses</w:t>
      </w:r>
      <w:r w:rsidR="00624F85">
        <w:rPr>
          <w:rFonts w:eastAsia="Calibri" w:cstheme="minorHAnsi"/>
        </w:rPr>
        <w:t>, costs</w:t>
      </w:r>
      <w:r w:rsidR="00624F85" w:rsidRPr="00AE074C">
        <w:rPr>
          <w:rFonts w:eastAsia="Calibri" w:cstheme="minorHAnsi"/>
        </w:rPr>
        <w:t xml:space="preserve"> or liabilit</w:t>
      </w:r>
      <w:r w:rsidR="00624F85">
        <w:rPr>
          <w:rFonts w:eastAsia="Calibri" w:cstheme="minorHAnsi"/>
        </w:rPr>
        <w:t>ies whatsoever (“Losses”)</w:t>
      </w:r>
      <w:r w:rsidR="00EC3498">
        <w:rPr>
          <w:rFonts w:eastAsia="Calibri" w:cstheme="minorHAnsi"/>
        </w:rPr>
        <w:t xml:space="preserve"> arising from the entry of false or </w:t>
      </w:r>
      <w:r w:rsidR="00AE074C" w:rsidRPr="00AE074C">
        <w:rPr>
          <w:rFonts w:eastAsia="Calibri" w:cstheme="minorHAnsi"/>
        </w:rPr>
        <w:t>inaccurate information</w:t>
      </w:r>
      <w:r w:rsidR="00EC3498">
        <w:rPr>
          <w:rFonts w:eastAsia="Calibri" w:cstheme="minorHAnsi"/>
        </w:rPr>
        <w:t xml:space="preserve"> entered </w:t>
      </w:r>
      <w:r w:rsidR="00AE074C" w:rsidRPr="00AE074C">
        <w:rPr>
          <w:rFonts w:eastAsia="Calibri" w:cstheme="minorHAnsi"/>
        </w:rPr>
        <w:t xml:space="preserve"> </w:t>
      </w:r>
      <w:r w:rsidR="00D3237C">
        <w:rPr>
          <w:rFonts w:eastAsia="Calibri" w:cstheme="minorHAnsi"/>
          <w:b/>
          <w:bCs/>
        </w:rPr>
        <w:t>the Parexel Oracle iSupplier portal</w:t>
      </w:r>
      <w:r w:rsidR="00D3237C" w:rsidRPr="00AE074C">
        <w:rPr>
          <w:rFonts w:eastAsia="Calibri" w:cstheme="minorHAnsi"/>
        </w:rPr>
        <w:t xml:space="preserve"> </w:t>
      </w:r>
      <w:r w:rsidR="00AE074C" w:rsidRPr="00AE074C">
        <w:rPr>
          <w:rFonts w:eastAsia="Calibri" w:cstheme="minorHAnsi"/>
        </w:rPr>
        <w:t xml:space="preserve">by </w:t>
      </w:r>
      <w:r w:rsidR="00961EB5">
        <w:rPr>
          <w:rFonts w:eastAsia="Calibri" w:cstheme="minorHAnsi"/>
        </w:rPr>
        <w:t>You or</w:t>
      </w:r>
      <w:r w:rsidR="00EC3498">
        <w:rPr>
          <w:rFonts w:eastAsia="Calibri" w:cstheme="minorHAnsi"/>
        </w:rPr>
        <w:t xml:space="preserve"> any other person, </w:t>
      </w:r>
      <w:r w:rsidR="00E17DAB">
        <w:rPr>
          <w:rFonts w:eastAsia="Calibri" w:cstheme="minorHAnsi"/>
        </w:rPr>
        <w:t>except where such information is entered</w:t>
      </w:r>
      <w:r w:rsidR="00EC3498">
        <w:rPr>
          <w:rFonts w:eastAsia="Calibri" w:cstheme="minorHAnsi"/>
        </w:rPr>
        <w:t xml:space="preserve"> by Parexel or as the result of its gross negligence or willful misconduct</w:t>
      </w:r>
      <w:r w:rsidR="00624F85">
        <w:rPr>
          <w:rFonts w:eastAsia="Calibri" w:cstheme="minorHAnsi"/>
        </w:rPr>
        <w:t xml:space="preserve">, and (ii) Company will indemnify Parexel against any such Losses. </w:t>
      </w:r>
      <w:r w:rsidR="00EC3498">
        <w:rPr>
          <w:rFonts w:eastAsia="Calibri" w:cstheme="minorHAnsi"/>
        </w:rPr>
        <w:t xml:space="preserve"> </w:t>
      </w:r>
      <w:r w:rsidR="00AE074C" w:rsidRPr="00AE074C">
        <w:rPr>
          <w:rFonts w:eastAsia="Calibri" w:cstheme="minorHAnsi"/>
        </w:rPr>
        <w:t xml:space="preserve"> </w:t>
      </w:r>
      <w:r w:rsidR="008B067A">
        <w:rPr>
          <w:rFonts w:eastAsia="Calibri" w:cstheme="minorHAnsi"/>
        </w:rPr>
        <w:t>Solely b</w:t>
      </w:r>
      <w:r w:rsidR="00EC3498">
        <w:rPr>
          <w:rFonts w:eastAsia="Calibri" w:cstheme="minorHAnsi"/>
        </w:rPr>
        <w:t xml:space="preserve">y way of </w:t>
      </w:r>
      <w:r w:rsidR="00AE074C" w:rsidRPr="00AE074C">
        <w:rPr>
          <w:rFonts w:eastAsia="Calibri" w:cstheme="minorHAnsi"/>
        </w:rPr>
        <w:t>example, if</w:t>
      </w:r>
      <w:r w:rsidR="00EC3498">
        <w:rPr>
          <w:rFonts w:eastAsia="Calibri" w:cstheme="minorHAnsi"/>
        </w:rPr>
        <w:t xml:space="preserve"> </w:t>
      </w:r>
      <w:r w:rsidR="00E17DAB">
        <w:rPr>
          <w:rFonts w:eastAsia="Calibri" w:cstheme="minorHAnsi"/>
        </w:rPr>
        <w:t>Y</w:t>
      </w:r>
      <w:r w:rsidR="00EC3498">
        <w:rPr>
          <w:rFonts w:eastAsia="Calibri" w:cstheme="minorHAnsi"/>
        </w:rPr>
        <w:t>ou</w:t>
      </w:r>
      <w:r w:rsidR="00AE074C" w:rsidRPr="00AE074C">
        <w:rPr>
          <w:rFonts w:eastAsia="Calibri" w:cstheme="minorHAnsi"/>
        </w:rPr>
        <w:t xml:space="preserve"> enter incorrect payment instructions</w:t>
      </w:r>
      <w:r w:rsidR="008B067A">
        <w:rPr>
          <w:rFonts w:eastAsia="Calibri" w:cstheme="minorHAnsi"/>
        </w:rPr>
        <w:t xml:space="preserve"> in </w:t>
      </w:r>
      <w:r w:rsidR="008B067A" w:rsidRPr="00AE074C">
        <w:rPr>
          <w:rFonts w:eastAsia="Calibri" w:cstheme="minorHAnsi"/>
        </w:rPr>
        <w:t xml:space="preserve">the </w:t>
      </w:r>
      <w:r w:rsidR="008B067A">
        <w:rPr>
          <w:rFonts w:eastAsia="Calibri" w:cstheme="minorHAnsi"/>
          <w:b/>
          <w:bCs/>
        </w:rPr>
        <w:t>Parexel Oracle iSupplier portal</w:t>
      </w:r>
      <w:r w:rsidR="00AE074C" w:rsidRPr="00AE074C">
        <w:rPr>
          <w:rFonts w:eastAsia="Calibri" w:cstheme="minorHAnsi"/>
        </w:rPr>
        <w:t xml:space="preserve">, Parexel shall have no liability to </w:t>
      </w:r>
      <w:r w:rsidR="00AE074C">
        <w:rPr>
          <w:rFonts w:eastAsia="Calibri" w:cstheme="minorHAnsi"/>
        </w:rPr>
        <w:t>Company</w:t>
      </w:r>
      <w:r w:rsidR="00416F5B">
        <w:rPr>
          <w:rFonts w:eastAsia="Calibri" w:cstheme="minorHAnsi"/>
        </w:rPr>
        <w:t xml:space="preserve"> </w:t>
      </w:r>
      <w:r w:rsidR="00AE074C" w:rsidRPr="00AE074C">
        <w:rPr>
          <w:rFonts w:eastAsia="Calibri" w:cstheme="minorHAnsi"/>
        </w:rPr>
        <w:t>for amounts paid by Parexel on account of those incorrect instructions</w:t>
      </w:r>
      <w:r w:rsidR="00E17DAB">
        <w:rPr>
          <w:rFonts w:eastAsia="Calibri" w:cstheme="minorHAnsi"/>
        </w:rPr>
        <w:t xml:space="preserve"> (and no obligation to repay </w:t>
      </w:r>
      <w:r w:rsidR="008B067A">
        <w:rPr>
          <w:rFonts w:eastAsia="Calibri" w:cstheme="minorHAnsi"/>
        </w:rPr>
        <w:t>them</w:t>
      </w:r>
      <w:r w:rsidR="00E17DAB">
        <w:rPr>
          <w:rFonts w:eastAsia="Calibri" w:cstheme="minorHAnsi"/>
        </w:rPr>
        <w:t>)</w:t>
      </w:r>
      <w:r w:rsidR="00624F85">
        <w:rPr>
          <w:rFonts w:eastAsia="Calibri" w:cstheme="minorHAnsi"/>
        </w:rPr>
        <w:t xml:space="preserve">.  </w:t>
      </w:r>
    </w:p>
    <w:sectPr w:rsidR="00AE074C" w:rsidRPr="00AE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56A9B"/>
    <w:multiLevelType w:val="multilevel"/>
    <w:tmpl w:val="26CE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4C"/>
    <w:rsid w:val="002221C7"/>
    <w:rsid w:val="00416F5B"/>
    <w:rsid w:val="0062301A"/>
    <w:rsid w:val="00624F85"/>
    <w:rsid w:val="00887380"/>
    <w:rsid w:val="008B067A"/>
    <w:rsid w:val="009401CA"/>
    <w:rsid w:val="00961EB5"/>
    <w:rsid w:val="009D2690"/>
    <w:rsid w:val="00A94272"/>
    <w:rsid w:val="00AA1DF9"/>
    <w:rsid w:val="00AE074C"/>
    <w:rsid w:val="00B83EEE"/>
    <w:rsid w:val="00CF6582"/>
    <w:rsid w:val="00D30754"/>
    <w:rsid w:val="00D3237C"/>
    <w:rsid w:val="00E17DAB"/>
    <w:rsid w:val="00EC3498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0044"/>
  <w15:chartTrackingRefBased/>
  <w15:docId w15:val="{F1E6FE6D-51C5-443D-8430-0803BF2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7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FF8EFA59B44C98C0E0D5E0D525D2" ma:contentTypeVersion="13" ma:contentTypeDescription="Create a new document." ma:contentTypeScope="" ma:versionID="2200f287b510e232adebd7f9635f3322">
  <xsd:schema xmlns:xsd="http://www.w3.org/2001/XMLSchema" xmlns:xs="http://www.w3.org/2001/XMLSchema" xmlns:p="http://schemas.microsoft.com/office/2006/metadata/properties" xmlns:ns3="8ff21387-cc23-4b82-8d74-468a1d0a45eb" xmlns:ns4="63ca0e01-432a-4a3b-8b4c-b43b881c7775" targetNamespace="http://schemas.microsoft.com/office/2006/metadata/properties" ma:root="true" ma:fieldsID="a7d05daa5af0d1f941c53fae8d90591d" ns3:_="" ns4:_="">
    <xsd:import namespace="8ff21387-cc23-4b82-8d74-468a1d0a45eb"/>
    <xsd:import namespace="63ca0e01-432a-4a3b-8b4c-b43b881c77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21387-cc23-4b82-8d74-468a1d0a4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0e01-432a-4a3b-8b4c-b43b881c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C00C-A239-43C7-890C-13A4A1739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8488D-B4F6-4783-BFDC-958D437D2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21387-cc23-4b82-8d74-468a1d0a45eb"/>
    <ds:schemaRef ds:uri="63ca0e01-432a-4a3b-8b4c-b43b881c7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87F0-E8EA-4312-B16E-D6C6BD81D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DAC28-6EEA-4F9A-A145-33E16ED6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Odhner, Chad</dc:creator>
  <cp:keywords/>
  <dc:description/>
  <cp:lastModifiedBy>Parvu, Cristina</cp:lastModifiedBy>
  <cp:revision>3</cp:revision>
  <dcterms:created xsi:type="dcterms:W3CDTF">2020-02-24T20:53:00Z</dcterms:created>
  <dcterms:modified xsi:type="dcterms:W3CDTF">2020-02-25T09:25:00Z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0x0101006A91FF8EFA59B44C98C0E0D5E0D525D2</vt:lpwstr>
  </property>
</Properties>
</file>